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B87E15" w:rsidP="00B87E15">
      <w:pPr>
        <w:tabs>
          <w:tab w:val="center" w:pos="5103"/>
          <w:tab w:val="left" w:pos="7740"/>
        </w:tabs>
        <w:rPr>
          <w:rFonts w:ascii="Times New Roman" w:hAnsi="Times New Roman"/>
          <w:b/>
          <w:sz w:val="28"/>
          <w:szCs w:val="28"/>
        </w:rPr>
      </w:pPr>
      <w:bookmarkStart w:id="0" w:name="_Toc311542539"/>
      <w:r>
        <w:rPr>
          <w:rFonts w:ascii="Times New Roman" w:hAnsi="Times New Roman"/>
          <w:b/>
          <w:sz w:val="28"/>
          <w:szCs w:val="28"/>
        </w:rPr>
        <w:tab/>
      </w:r>
      <w:r w:rsidR="00056BAB" w:rsidRPr="00056BA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1C148B">
        <w:rPr>
          <w:rFonts w:ascii="Times New Roman" w:hAnsi="Times New Roman"/>
          <w:sz w:val="28"/>
          <w:szCs w:val="28"/>
        </w:rPr>
        <w:t xml:space="preserve">29 июля </w:t>
      </w:r>
      <w:r w:rsidRPr="00056BAB">
        <w:rPr>
          <w:rFonts w:ascii="Times New Roman" w:hAnsi="Times New Roman"/>
          <w:sz w:val="28"/>
          <w:szCs w:val="28"/>
        </w:rPr>
        <w:t>2019 г.                                                                                                       №</w:t>
      </w:r>
      <w:r w:rsidR="00E50649">
        <w:rPr>
          <w:rFonts w:ascii="Times New Roman" w:hAnsi="Times New Roman"/>
          <w:sz w:val="28"/>
          <w:szCs w:val="28"/>
        </w:rPr>
        <w:t xml:space="preserve"> 23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 w:rsidR="00B87E15" w:rsidRPr="00B87E15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="00B87E15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Кандабулак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87E15">
        <w:rPr>
          <w:rFonts w:ascii="Times New Roman" w:hAnsi="Times New Roman"/>
          <w:bCs/>
          <w:sz w:val="28"/>
          <w:szCs w:val="28"/>
        </w:rPr>
        <w:t>Кандабулак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B87E15">
        <w:t>Кандабулак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1C148B">
        <w:rPr>
          <w:bCs/>
        </w:rPr>
        <w:t xml:space="preserve">Кандабулак 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B87E15">
        <w:rPr>
          <w:bCs/>
          <w:kern w:val="32"/>
        </w:rPr>
        <w:t xml:space="preserve"> Кандабулак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B87E15">
        <w:rPr>
          <w:rFonts w:ascii="Times New Roman" w:hAnsi="Times New Roman"/>
          <w:sz w:val="28"/>
          <w:szCs w:val="28"/>
        </w:rPr>
        <w:t>Кандабулак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7D1A70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7D1A70">
        <w:rPr>
          <w:rFonts w:ascii="Times New Roman" w:hAnsi="Times New Roman"/>
          <w:sz w:val="28"/>
          <w:szCs w:val="28"/>
        </w:rPr>
        <w:t>17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B87E15">
        <w:rPr>
          <w:rFonts w:ascii="Times New Roman" w:hAnsi="Times New Roman"/>
          <w:sz w:val="28"/>
          <w:szCs w:val="28"/>
        </w:rPr>
        <w:t>Кандабулак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7E15">
        <w:rPr>
          <w:rFonts w:ascii="Times New Roman" w:hAnsi="Times New Roman"/>
          <w:sz w:val="28"/>
          <w:szCs w:val="28"/>
        </w:rPr>
        <w:t>Кандабулак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B87E15">
        <w:rPr>
          <w:rFonts w:ascii="Times New Roman" w:hAnsi="Times New Roman"/>
          <w:sz w:val="28"/>
          <w:szCs w:val="28"/>
        </w:rPr>
        <w:t>С.И. Кадерова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B87E15" w:rsidRPr="00056BAB" w:rsidRDefault="00B87E15" w:rsidP="00B87E1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056BAB" w:rsidRPr="00056BA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56BAB" w:rsidRPr="00056BA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Кандабулак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</w:t>
      </w:r>
      <w:r w:rsidR="00B87E15">
        <w:rPr>
          <w:rFonts w:ascii="Times New Roman" w:hAnsi="Times New Roman"/>
          <w:sz w:val="28"/>
          <w:szCs w:val="28"/>
        </w:rPr>
        <w:t xml:space="preserve">                              </w:t>
      </w: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B87E15">
        <w:rPr>
          <w:rFonts w:ascii="Times New Roman" w:hAnsi="Times New Roman"/>
          <w:sz w:val="28"/>
          <w:szCs w:val="28"/>
        </w:rPr>
        <w:t>Т.С. Озерова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B87E1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B87E1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B87E15" w:rsidP="00B87E15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Cs/>
          <w:kern w:val="32"/>
          <w:sz w:val="22"/>
          <w:szCs w:val="22"/>
        </w:rPr>
      </w:pPr>
      <w:r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   </w:t>
      </w:r>
      <w:r w:rsidR="008F3E37"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Pr="00B87E15">
        <w:rPr>
          <w:rFonts w:ascii="Times New Roman" w:hAnsi="Times New Roman"/>
          <w:sz w:val="22"/>
          <w:szCs w:val="22"/>
        </w:rPr>
        <w:t>Кандабулак</w:t>
      </w:r>
    </w:p>
    <w:p w:rsidR="008F3E37" w:rsidRPr="00653CA6" w:rsidRDefault="00B87E15" w:rsidP="00B87E1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        </w:t>
      </w:r>
      <w:r w:rsidR="008F3E37"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B87E15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 w:rsidR="00E50649">
        <w:rPr>
          <w:rFonts w:ascii="Times New Roman" w:eastAsia="Times New Roman" w:hAnsi="Times New Roman"/>
          <w:bCs/>
          <w:kern w:val="32"/>
          <w:sz w:val="22"/>
          <w:szCs w:val="22"/>
        </w:rPr>
        <w:t>29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» </w:t>
      </w:r>
      <w:r w:rsidR="00E50649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07 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2019 г. № </w:t>
      </w:r>
      <w:r w:rsidR="00E50649">
        <w:rPr>
          <w:rFonts w:ascii="Times New Roman" w:eastAsia="Times New Roman" w:hAnsi="Times New Roman"/>
          <w:bCs/>
          <w:kern w:val="32"/>
          <w:sz w:val="22"/>
          <w:szCs w:val="22"/>
        </w:rPr>
        <w:t>23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B87E15" w:rsidRPr="00056BAB" w:rsidRDefault="003D269E" w:rsidP="00B87E1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87E1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B87E15">
        <w:rPr>
          <w:rFonts w:ascii="Times New Roman" w:hAnsi="Times New Roman"/>
          <w:sz w:val="28"/>
          <w:szCs w:val="28"/>
        </w:rPr>
        <w:t>Кандабулак</w:t>
      </w:r>
    </w:p>
    <w:p w:rsidR="003D269E" w:rsidRPr="00653CA6" w:rsidRDefault="002C5B19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056BAB" w:rsidRPr="00056BAB">
        <w:rPr>
          <w:b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B87E15" w:rsidP="00B87E1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D269E"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056BAB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Кандабулак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B87E15" w:rsidRPr="00056BAB" w:rsidRDefault="003D269E" w:rsidP="00B87E1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87E1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B87E15">
        <w:rPr>
          <w:rFonts w:ascii="Times New Roman" w:hAnsi="Times New Roman"/>
          <w:sz w:val="28"/>
          <w:szCs w:val="28"/>
        </w:rPr>
        <w:t>Кандабулак</w:t>
      </w:r>
    </w:p>
    <w:p w:rsidR="00290F63" w:rsidRPr="00653CA6" w:rsidRDefault="00B87E15" w:rsidP="00B87E1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 м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3D269E" w:rsidRPr="00653CA6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="003D269E"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B87E15" w:rsidRPr="00056BAB" w:rsidRDefault="003D269E" w:rsidP="00B87E1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87E1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B87E15">
        <w:rPr>
          <w:rFonts w:ascii="Times New Roman" w:hAnsi="Times New Roman"/>
          <w:sz w:val="28"/>
          <w:szCs w:val="28"/>
        </w:rPr>
        <w:t>Кандабулак</w:t>
      </w:r>
    </w:p>
    <w:p w:rsidR="00290F63" w:rsidRPr="00653CA6" w:rsidRDefault="002C5B19" w:rsidP="00B87E15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lastRenderedPageBreak/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B87E15" w:rsidRPr="00056BAB" w:rsidRDefault="00516CBD" w:rsidP="00B87E1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87E1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B87E15">
        <w:rPr>
          <w:rFonts w:ascii="Times New Roman" w:hAnsi="Times New Roman"/>
          <w:sz w:val="28"/>
          <w:szCs w:val="28"/>
        </w:rPr>
        <w:t>Кандабулак</w:t>
      </w:r>
    </w:p>
    <w:p w:rsidR="00516CBD" w:rsidRPr="00653CA6" w:rsidRDefault="002C5B19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16CBD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="00516CBD"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E829F8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B87E1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87E1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B87E15">
        <w:rPr>
          <w:rFonts w:ascii="Times New Roman" w:hAnsi="Times New Roman"/>
          <w:sz w:val="28"/>
          <w:szCs w:val="28"/>
        </w:rPr>
        <w:t xml:space="preserve">Кандабулак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B87E1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>–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B87E1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B87E15">
        <w:rPr>
          <w:rFonts w:ascii="Times New Roman" w:hAnsi="Times New Roman"/>
          <w:sz w:val="28"/>
          <w:szCs w:val="28"/>
        </w:rPr>
        <w:t xml:space="preserve">Кандабулак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7D1A7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Кандабулак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7D1A70" w:rsidRPr="007D1A7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7D1A70">
        <w:rPr>
          <w:rFonts w:ascii="Times New Roman" w:eastAsia="Times New Roman" w:hAnsi="Times New Roman"/>
          <w:bCs/>
          <w:kern w:val="32"/>
          <w:sz w:val="28"/>
          <w:szCs w:val="28"/>
        </w:rPr>
        <w:t>Кандабулак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653CA6">
        <w:rPr>
          <w:rFonts w:ascii="Times New Roman" w:hAnsi="Times New Roman"/>
          <w:sz w:val="28"/>
          <w:szCs w:val="28"/>
        </w:rPr>
        <w:lastRenderedPageBreak/>
        <w:t xml:space="preserve">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7D1A70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 Кандабулак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 w:rsidR="00376BC2" w:rsidRPr="00653CA6">
        <w:rPr>
          <w:rFonts w:ascii="Times New Roman" w:hAnsi="Times New Roman"/>
          <w:sz w:val="28"/>
          <w:szCs w:val="28"/>
        </w:rPr>
        <w:t xml:space="preserve"> 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="003B28B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5931C3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  <w:r w:rsidR="00A229B4" w:rsidRPr="00653CA6">
        <w:rPr>
          <w:rFonts w:ascii="Times New Roman" w:hAnsi="Times New Roman"/>
          <w:sz w:val="28"/>
          <w:szCs w:val="28"/>
        </w:rPr>
        <w:t xml:space="preserve"> 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7D1A7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Кандабулак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</w:t>
      </w:r>
      <w:r w:rsidRPr="00653CA6">
        <w:rPr>
          <w:rFonts w:ascii="Times New Roman" w:hAnsi="Times New Roman"/>
          <w:sz w:val="28"/>
          <w:szCs w:val="28"/>
        </w:rPr>
        <w:lastRenderedPageBreak/>
        <w:t>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0649">
        <w:rPr>
          <w:rFonts w:ascii="Times New Roman" w:hAnsi="Times New Roman"/>
          <w:sz w:val="28"/>
          <w:szCs w:val="28"/>
        </w:rPr>
        <w:t>Кандабулак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7D1A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A70">
        <w:rPr>
          <w:rFonts w:ascii="Times New Roman" w:eastAsia="Times New Roman" w:hAnsi="Times New Roman"/>
          <w:bCs/>
          <w:kern w:val="32"/>
          <w:sz w:val="28"/>
          <w:szCs w:val="28"/>
        </w:rPr>
        <w:t>Кандабулак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r w:rsidR="000F6AF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A70">
        <w:rPr>
          <w:rFonts w:ascii="Times New Roman" w:eastAsia="Times New Roman" w:hAnsi="Times New Roman"/>
          <w:bCs/>
          <w:kern w:val="32"/>
          <w:sz w:val="28"/>
          <w:szCs w:val="28"/>
        </w:rPr>
        <w:t>Кандабулак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1A70">
        <w:rPr>
          <w:rFonts w:ascii="Times New Roman" w:eastAsia="Times New Roman" w:hAnsi="Times New Roman"/>
          <w:bCs/>
          <w:kern w:val="32"/>
          <w:sz w:val="28"/>
          <w:szCs w:val="28"/>
        </w:rPr>
        <w:t>Кандабулак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 xml:space="preserve">сельского поселения </w:t>
      </w:r>
      <w:r w:rsidR="007D1A70">
        <w:rPr>
          <w:rFonts w:ascii="Times New Roman" w:hAnsi="Times New Roman"/>
        </w:rPr>
        <w:t>Кандабулак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7D1A70">
        <w:rPr>
          <w:rFonts w:ascii="Times New Roman" w:hAnsi="Times New Roman"/>
        </w:rPr>
        <w:t>Кандабулак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7D1A70">
        <w:rPr>
          <w:rFonts w:ascii="Times New Roman" w:hAnsi="Times New Roman"/>
        </w:rPr>
        <w:t>Кандабулак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7D1A70">
        <w:rPr>
          <w:rFonts w:ascii="Times New Roman" w:hAnsi="Times New Roman"/>
        </w:rPr>
        <w:t>Кандабулак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</w:t>
      </w:r>
      <w:r w:rsidR="007D1A70">
        <w:rPr>
          <w:rFonts w:ascii="Times New Roman" w:hAnsi="Times New Roman"/>
        </w:rPr>
        <w:t xml:space="preserve"> Кандабулак </w:t>
      </w: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 xml:space="preserve">сельского поселения </w:t>
      </w:r>
      <w:r w:rsidR="007D1A70">
        <w:rPr>
          <w:rFonts w:ascii="Times New Roman" w:hAnsi="Times New Roman"/>
        </w:rPr>
        <w:t>Кандабулак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                                                                (подпись)                                 (Ф.И.О.)</w:t>
      </w: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7D1A70">
        <w:rPr>
          <w:rFonts w:ascii="Times New Roman" w:hAnsi="Times New Roman"/>
        </w:rPr>
        <w:t>Кандабулак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D2" w:rsidRDefault="008E47D2" w:rsidP="00FD64A6">
      <w:r>
        <w:separator/>
      </w:r>
    </w:p>
  </w:endnote>
  <w:endnote w:type="continuationSeparator" w:id="1">
    <w:p w:rsidR="008E47D2" w:rsidRDefault="008E47D2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D2" w:rsidRDefault="008E47D2" w:rsidP="00FD64A6">
      <w:r>
        <w:separator/>
      </w:r>
    </w:p>
  </w:footnote>
  <w:footnote w:type="continuationSeparator" w:id="1">
    <w:p w:rsidR="008E47D2" w:rsidRDefault="008E47D2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595F1D">
    <w:r>
      <w:fldChar w:fldCharType="begin"/>
    </w:r>
    <w:r w:rsidR="00431D2E">
      <w:instrText xml:space="preserve"> PAGE </w:instrText>
    </w:r>
    <w:r>
      <w:fldChar w:fldCharType="separate"/>
    </w:r>
    <w:r w:rsidR="00275811">
      <w:rPr>
        <w:noProof/>
      </w:rPr>
      <w:t>24</w:t>
    </w:r>
    <w:r>
      <w:rPr>
        <w:noProof/>
      </w:rPr>
      <w:fldChar w:fldCharType="end"/>
    </w: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595F1D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1DDD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48B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5811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580"/>
    <w:rsid w:val="00373749"/>
    <w:rsid w:val="00373B74"/>
    <w:rsid w:val="00374E24"/>
    <w:rsid w:val="00375308"/>
    <w:rsid w:val="00375AC2"/>
    <w:rsid w:val="00376734"/>
    <w:rsid w:val="00376BC2"/>
    <w:rsid w:val="00376E4F"/>
    <w:rsid w:val="003802C8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5F1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592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1A70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47D2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11B8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87E15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A01"/>
    <w:rsid w:val="00E41D48"/>
    <w:rsid w:val="00E42D11"/>
    <w:rsid w:val="00E449C0"/>
    <w:rsid w:val="00E46BC7"/>
    <w:rsid w:val="00E477E0"/>
    <w:rsid w:val="00E5021D"/>
    <w:rsid w:val="00E50649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A5F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4D3D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C17DD-BC88-4852-A2D7-896C486B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42292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2019-07-31T10:51:00Z</dcterms:created>
  <dcterms:modified xsi:type="dcterms:W3CDTF">2019-07-31T10:51:00Z</dcterms:modified>
</cp:coreProperties>
</file>